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EA" w:rsidRDefault="000C3ED2">
      <w:pPr>
        <w:spacing w:line="58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C653EA" w:rsidRDefault="00C653EA">
      <w:pPr>
        <w:spacing w:line="580" w:lineRule="exact"/>
        <w:ind w:firstLine="641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C653EA" w:rsidRDefault="000C3ED2">
      <w:pPr>
        <w:spacing w:line="580" w:lineRule="exact"/>
        <w:ind w:firstLine="641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2022年贵州省教育科学研究优秀成果</w:t>
      </w:r>
    </w:p>
    <w:p w:rsidR="00C653EA" w:rsidRDefault="000C3ED2">
      <w:pPr>
        <w:spacing w:line="580" w:lineRule="exact"/>
        <w:ind w:firstLine="641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评选奖励办法</w:t>
      </w:r>
    </w:p>
    <w:p w:rsidR="00C653EA" w:rsidRDefault="00C653EA">
      <w:pPr>
        <w:spacing w:line="580" w:lineRule="exact"/>
        <w:ind w:firstLine="640"/>
        <w:jc w:val="center"/>
        <w:rPr>
          <w:rFonts w:ascii="黑体" w:eastAsia="黑体" w:hAnsi="仿宋" w:cs="Arial"/>
          <w:kern w:val="0"/>
          <w:sz w:val="44"/>
          <w:szCs w:val="44"/>
        </w:rPr>
      </w:pPr>
    </w:p>
    <w:p w:rsidR="00C653EA" w:rsidRDefault="000C3ED2">
      <w:pPr>
        <w:spacing w:line="580" w:lineRule="exact"/>
        <w:ind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第一条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指导思想</w:t>
      </w:r>
      <w:bookmarkStart w:id="0" w:name="_GoBack"/>
      <w:bookmarkEnd w:id="0"/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以习近平新时代中国特色社会主义思想为指导，深入贯彻落实党的十九大和贵州教育高质量发展大会精神, 紧密结合我省教育改革发展的实践，围绕中心，服务大局，推进教育科学的发展和创新，提高教育科研质量，为建设教育现代化、特色教育强省做出贡献。</w:t>
      </w:r>
    </w:p>
    <w:p w:rsidR="00C653EA" w:rsidRDefault="000C3ED2">
      <w:pPr>
        <w:spacing w:line="580" w:lineRule="exact"/>
        <w:ind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评奖工作坚持政治标准、学术标准和学风标准，倡导质量第一，体现社会影响。</w:t>
      </w:r>
    </w:p>
    <w:p w:rsidR="00C653EA" w:rsidRDefault="000C3ED2">
      <w:pPr>
        <w:spacing w:line="580" w:lineRule="exact"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第二条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评奖范围</w:t>
      </w:r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1.申报成果类型为研究报告、著作、论文（著作、论文必须公开出版或发表）。</w:t>
      </w:r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2.各市（州）、学校（单位）已组织教育科学优秀成果评奖活动的，其推荐成果原则上应是评奖活动中已获奖成果。未组织评奖活动的，应择优推荐。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3.参评成果限定在2017年1月1日至2021年12月31日期间。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4.已经获得过省级及以上哲学社会科学优秀成果奖、科技</w:t>
      </w:r>
      <w:r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进步奖、省厅级及以上成果奖等成果，不再参加本次评奖。</w:t>
      </w:r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5.开发建设的地方教材、校本教材等其他教材资源、学习资源和工具书，开发设计的教具、学具，出版的论文集、音像制品等，不属于教育科研优秀成果奖评审范围。</w:t>
      </w:r>
    </w:p>
    <w:p w:rsidR="00C653EA" w:rsidRDefault="000C3ED2">
      <w:pPr>
        <w:spacing w:line="580" w:lineRule="exact"/>
        <w:ind w:firstLineChars="200" w:firstLine="643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第三条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参评条件</w:t>
      </w:r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参评成果具有正确的政治方向，具有较高的学术价值、应用价值，研究方法科学,体现教育科学研究的新水平，科学解释和准确解答教育教学改革发展中的重点、难点、热点问题，或者有效解决教育教学实际问题。具体条件是：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1.坚持社会主义价值取向及价值评价标准，正确运用马克思主义的立场、观点和方法进行科学研究。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2.学术上坚持创新和质量导向。要求观点鲜明，资料翔实，数据准确，论据充分，逻辑严密，方法科学。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3.学风端正，符合学术道德和学术规范要求。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4.坚持实践标准。一切从实际出发，理论联系实际。以解决问题为指引，以实现目标为方向，以实际成效为标准。</w:t>
      </w:r>
    </w:p>
    <w:p w:rsidR="00C653EA" w:rsidRDefault="000C3ED2">
      <w:pPr>
        <w:spacing w:line="580" w:lineRule="exact"/>
        <w:ind w:firstLineChars="200" w:firstLine="643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第四条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申报要求</w:t>
      </w:r>
    </w:p>
    <w:p w:rsidR="00C653EA" w:rsidRDefault="000C3ED2">
      <w:pPr>
        <w:spacing w:line="580" w:lineRule="exact"/>
        <w:ind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1.每项申报成果参与人不超过9人，单位成果只填写参与单位名称，总数不超过3个。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2.各申报单位严格按限额推荐，不得占用本单位名额推荐外单位人员的成果。每位申报者只能申报一项成果。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3.系列丛书只能以单本著作独立参评；多卷本专著整体申</w:t>
      </w:r>
      <w:r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报参评，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不能单卷参评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4.申报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成果查重不能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超过30%。</w:t>
      </w:r>
    </w:p>
    <w:p w:rsidR="00C653EA" w:rsidRDefault="000C3ED2">
      <w:pPr>
        <w:spacing w:line="580" w:lineRule="exact"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第五条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申报流程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1.名额分配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2022年教育科研成果评选奖励采取限额申报，名额分配如下：贵阳市、遵义市、毕节市各20项；铜仁市、黔东南州、黔南州各15项；六盘水市、安顺市、黔西南州各10项；省属高校每校8项；市（州）本科院校每校5项；民办高校、高职院校每校3项；省属中等职业学校、省属普通高中每校2项；厅属事业单位每单位3项；省教育学会3项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2.申报材料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（1）《贵州省教育科学研究优秀成果奖申报评审书》一式二份（见附件2）；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（2）成果原件及相关证明材料一份（证明类材料可用复印件加盖公章）；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（3）申报表格可在</w:t>
      </w:r>
      <w:r>
        <w:rPr>
          <w:rFonts w:ascii="仿宋" w:eastAsia="仿宋" w:hAnsi="仿宋" w:cs="Arial"/>
          <w:kern w:val="0"/>
          <w:sz w:val="32"/>
          <w:szCs w:val="32"/>
        </w:rPr>
        <w:t>http://</w:t>
      </w:r>
      <w:r>
        <w:rPr>
          <w:rFonts w:ascii="仿宋" w:eastAsia="仿宋" w:hAnsi="仿宋" w:cs="Arial" w:hint="eastAsia"/>
          <w:kern w:val="0"/>
          <w:sz w:val="32"/>
          <w:szCs w:val="32"/>
        </w:rPr>
        <w:t>jyt.guizhou.gov.cn</w:t>
      </w:r>
      <w:r>
        <w:rPr>
          <w:rFonts w:ascii="仿宋" w:eastAsia="仿宋" w:hAnsi="仿宋" w:cs="Arial"/>
          <w:kern w:val="0"/>
          <w:sz w:val="32"/>
          <w:szCs w:val="32"/>
        </w:rPr>
        <w:t>/</w:t>
      </w:r>
      <w:r>
        <w:rPr>
          <w:rFonts w:ascii="仿宋" w:eastAsia="仿宋" w:hAnsi="仿宋" w:cs="Arial" w:hint="eastAsia"/>
          <w:kern w:val="0"/>
          <w:sz w:val="32"/>
          <w:szCs w:val="32"/>
        </w:rPr>
        <w:t>贵州省教育厅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政务网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下载；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（4）研究报告、著作须提交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查重报告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1份，论文无须提交。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3.申报时间</w:t>
      </w:r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各市（州）、各单位将本地区、本单位的申报材料汇总后于2022年9月20日前报送贵州省教育科学规划领导小组办公室，逾期不予受理。联系人：杨秀柱，电话：0851-86775332），</w:t>
      </w:r>
      <w:r>
        <w:rPr>
          <w:rFonts w:ascii="仿宋" w:eastAsia="仿宋" w:hAnsi="仿宋" w:cs="Arial" w:hint="eastAsia"/>
          <w:spacing w:val="-20"/>
          <w:kern w:val="0"/>
          <w:sz w:val="32"/>
          <w:szCs w:val="32"/>
        </w:rPr>
        <w:t>同时，</w:t>
      </w:r>
      <w:r>
        <w:rPr>
          <w:rFonts w:ascii="仿宋" w:eastAsia="仿宋" w:hAnsi="仿宋" w:cs="Arial" w:hint="eastAsia"/>
          <w:kern w:val="0"/>
          <w:sz w:val="32"/>
          <w:szCs w:val="32"/>
        </w:rPr>
        <w:t>将《申报书》、《汇总表》电子版发送至277685733@qq.com邮箱。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4.省教育科学规划领导小组办公室不直接受理个人申报。申报材料请自留副本，材料概不返回。</w:t>
      </w:r>
    </w:p>
    <w:p w:rsidR="00C653EA" w:rsidRDefault="000C3ED2">
      <w:pPr>
        <w:spacing w:line="580" w:lineRule="exact"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第六条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奖项设置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本届成果奖评审分为：论文、著作、研究报告三个类别分别进行评审。分设一、二、三等奖，其中一等奖5%，二等奖15%，三等奖25%。</w:t>
      </w:r>
    </w:p>
    <w:p w:rsidR="00C653EA" w:rsidRDefault="000C3ED2">
      <w:pPr>
        <w:spacing w:line="580" w:lineRule="exact"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第七条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评奖要求</w:t>
      </w:r>
    </w:p>
    <w:p w:rsidR="00C653EA" w:rsidRDefault="000C3ED2">
      <w:pPr>
        <w:spacing w:line="580" w:lineRule="exact"/>
        <w:ind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1.评奖工作充分发扬学术民主，坚持公平、公正和公开的原则。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2.宁缺毋滥，质量第一。评奖成果等级可以空缺但不得突破比例，上一等级空缺的名额可计入下一等级。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3.任何个人和单位不得以任何方式干扰评奖工作，否则，一经查实，将撤销其参评资格，已获奖的取消获奖资格并予以通报。</w:t>
      </w:r>
    </w:p>
    <w:p w:rsidR="00C653EA" w:rsidRDefault="000C3ED2">
      <w:pPr>
        <w:spacing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4.参加评审的专家和工作人员，不得徇私舞弊，否则，一经查实，将严肃处理。</w:t>
      </w:r>
    </w:p>
    <w:p w:rsidR="00C653EA" w:rsidRDefault="000C3ED2">
      <w:pPr>
        <w:spacing w:line="580" w:lineRule="exact"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第八条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公示及异议处理</w:t>
      </w:r>
    </w:p>
    <w:p w:rsidR="00C653EA" w:rsidRDefault="000C3ED2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经评审拟授奖的成果实行公示制度。任何单位和个人对公示的科研成果奖持有异议的，须在公示之日起5日内以书面形</w:t>
      </w:r>
      <w:r w:rsidR="00B87DCA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kern w:val="0"/>
          <w:sz w:val="32"/>
          <w:szCs w:val="32"/>
        </w:rPr>
        <w:t>式向贵州省教育科学规划领导小组办公室举报和投诉。</w:t>
      </w:r>
    </w:p>
    <w:p w:rsidR="00C653EA" w:rsidRDefault="000C3ED2">
      <w:pPr>
        <w:spacing w:line="580" w:lineRule="exact"/>
        <w:ind w:firstLine="57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举报和投诉范围：评审工作徇私舞弊及违反评审程序的；申报者剽窃他人成果、弄虚作假或以其他不正当手段谋取奖励的。</w:t>
      </w:r>
    </w:p>
    <w:p w:rsidR="00C653EA" w:rsidRDefault="000C3ED2">
      <w:pPr>
        <w:spacing w:line="580" w:lineRule="exact"/>
        <w:ind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以下异议不在投诉范围：申报者个人对自己成果的评审奖次的异议；未提交相关证明材料的异议。</w:t>
      </w:r>
    </w:p>
    <w:p w:rsidR="00C653EA" w:rsidRDefault="000C3ED2">
      <w:pPr>
        <w:spacing w:line="580" w:lineRule="exact"/>
        <w:ind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第九条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获奖公布</w:t>
      </w:r>
    </w:p>
    <w:p w:rsidR="00C653EA" w:rsidRDefault="000C3ED2">
      <w:pPr>
        <w:spacing w:line="580" w:lineRule="exact"/>
        <w:ind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获奖结果由省教育厅予以公布，对获奖成果的主持人及成员，由省教育厅颁发获奖证书。</w:t>
      </w:r>
    </w:p>
    <w:p w:rsidR="00C653EA" w:rsidRDefault="00C653EA">
      <w:pPr>
        <w:spacing w:line="580" w:lineRule="exact"/>
        <w:ind w:firstLine="640"/>
        <w:rPr>
          <w:kern w:val="0"/>
        </w:rPr>
      </w:pPr>
    </w:p>
    <w:p w:rsidR="00C653EA" w:rsidRDefault="00C653EA">
      <w:pPr>
        <w:spacing w:line="580" w:lineRule="exact"/>
        <w:ind w:firstLine="640"/>
        <w:rPr>
          <w:kern w:val="0"/>
        </w:rPr>
      </w:pPr>
    </w:p>
    <w:p w:rsidR="00C653EA" w:rsidRDefault="00C653EA">
      <w:pPr>
        <w:spacing w:line="580" w:lineRule="exact"/>
      </w:pPr>
    </w:p>
    <w:sectPr w:rsidR="00C653EA" w:rsidSect="00C653EA">
      <w:footerReference w:type="default" r:id="rId7"/>
      <w:pgSz w:w="11906" w:h="16838"/>
      <w:pgMar w:top="1984" w:right="1701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EA" w:rsidRDefault="00C653EA" w:rsidP="00C653EA">
      <w:r>
        <w:separator/>
      </w:r>
    </w:p>
  </w:endnote>
  <w:endnote w:type="continuationSeparator" w:id="0">
    <w:p w:rsidR="00C653EA" w:rsidRDefault="00C653EA" w:rsidP="00C65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EA" w:rsidRDefault="00A76E49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sdt>
                <w:sdtPr>
                  <w:id w:val="116069159"/>
                </w:sdtPr>
                <w:sdtContent>
                  <w:p w:rsidR="00C653EA" w:rsidRDefault="00A76E49">
                    <w:pPr>
                      <w:pStyle w:val="a4"/>
                      <w:jc w:val="center"/>
                    </w:pPr>
                    <w:r w:rsidRPr="00A76E49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0C3ED2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76E49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B2F77" w:rsidRPr="005B2F7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B2F7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:rsidR="00C653EA" w:rsidRDefault="00C653EA"/>
            </w:txbxContent>
          </v:textbox>
          <w10:wrap anchorx="margin"/>
        </v:shape>
      </w:pict>
    </w:r>
  </w:p>
  <w:p w:rsidR="00C653EA" w:rsidRDefault="00C653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EA" w:rsidRDefault="00C653EA" w:rsidP="00C653EA">
      <w:r>
        <w:separator/>
      </w:r>
    </w:p>
  </w:footnote>
  <w:footnote w:type="continuationSeparator" w:id="0">
    <w:p w:rsidR="00C653EA" w:rsidRDefault="00C653EA" w:rsidP="00C65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llOGU1MWI0NmE1MDExYTQxNDRiOGQ3ODE3YjljZWMifQ=="/>
  </w:docVars>
  <w:rsids>
    <w:rsidRoot w:val="00B53F07"/>
    <w:rsid w:val="000678BC"/>
    <w:rsid w:val="000A5B96"/>
    <w:rsid w:val="000C3ED2"/>
    <w:rsid w:val="00164B1B"/>
    <w:rsid w:val="001922F7"/>
    <w:rsid w:val="001D6AE4"/>
    <w:rsid w:val="001E2694"/>
    <w:rsid w:val="00203374"/>
    <w:rsid w:val="00226F02"/>
    <w:rsid w:val="002B257C"/>
    <w:rsid w:val="003577EB"/>
    <w:rsid w:val="003F0562"/>
    <w:rsid w:val="004423C2"/>
    <w:rsid w:val="0047590A"/>
    <w:rsid w:val="004C68BD"/>
    <w:rsid w:val="004E64D7"/>
    <w:rsid w:val="00501713"/>
    <w:rsid w:val="00523EB2"/>
    <w:rsid w:val="005778AD"/>
    <w:rsid w:val="005B2F77"/>
    <w:rsid w:val="005B5837"/>
    <w:rsid w:val="005C4F91"/>
    <w:rsid w:val="005C74CD"/>
    <w:rsid w:val="00615253"/>
    <w:rsid w:val="0066720E"/>
    <w:rsid w:val="00691C79"/>
    <w:rsid w:val="006E2DF1"/>
    <w:rsid w:val="006E3370"/>
    <w:rsid w:val="008174A9"/>
    <w:rsid w:val="00834F7C"/>
    <w:rsid w:val="00871D68"/>
    <w:rsid w:val="00872CC3"/>
    <w:rsid w:val="008F4BA2"/>
    <w:rsid w:val="00960DF4"/>
    <w:rsid w:val="009725D1"/>
    <w:rsid w:val="00A35B30"/>
    <w:rsid w:val="00A76E49"/>
    <w:rsid w:val="00A94105"/>
    <w:rsid w:val="00AA2725"/>
    <w:rsid w:val="00AA3D1F"/>
    <w:rsid w:val="00AA695C"/>
    <w:rsid w:val="00AF1E57"/>
    <w:rsid w:val="00B27BF0"/>
    <w:rsid w:val="00B53F07"/>
    <w:rsid w:val="00B87DCA"/>
    <w:rsid w:val="00C11268"/>
    <w:rsid w:val="00C13B56"/>
    <w:rsid w:val="00C347A4"/>
    <w:rsid w:val="00C45D40"/>
    <w:rsid w:val="00C57909"/>
    <w:rsid w:val="00C653EA"/>
    <w:rsid w:val="00CD1FE1"/>
    <w:rsid w:val="00CE070C"/>
    <w:rsid w:val="00CE1E79"/>
    <w:rsid w:val="00CE27C8"/>
    <w:rsid w:val="00D22778"/>
    <w:rsid w:val="00D753CF"/>
    <w:rsid w:val="00D96625"/>
    <w:rsid w:val="00E510D1"/>
    <w:rsid w:val="00E873F5"/>
    <w:rsid w:val="00EE01D8"/>
    <w:rsid w:val="00F513D1"/>
    <w:rsid w:val="00F552BC"/>
    <w:rsid w:val="00F61C66"/>
    <w:rsid w:val="00FB482C"/>
    <w:rsid w:val="01810283"/>
    <w:rsid w:val="175507F4"/>
    <w:rsid w:val="1C5044E0"/>
    <w:rsid w:val="254A0D4A"/>
    <w:rsid w:val="28184BF2"/>
    <w:rsid w:val="43E757F9"/>
    <w:rsid w:val="4651674B"/>
    <w:rsid w:val="564A004F"/>
    <w:rsid w:val="6716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5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65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65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653EA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653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653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53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285</Words>
  <Characters>1628</Characters>
  <Application>Microsoft Office Word</Application>
  <DocSecurity>0</DocSecurity>
  <Lines>13</Lines>
  <Paragraphs>3</Paragraphs>
  <ScaleCrop>false</ScaleCrop>
  <Company>http:/sdwm.org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深度联盟http:/sdwm.org</cp:lastModifiedBy>
  <cp:revision>35</cp:revision>
  <cp:lastPrinted>2022-07-15T06:48:00Z</cp:lastPrinted>
  <dcterms:created xsi:type="dcterms:W3CDTF">2020-12-24T08:41:00Z</dcterms:created>
  <dcterms:modified xsi:type="dcterms:W3CDTF">2022-07-15T08:06:00Z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EAE74F583CCE4478B63CBDDCB3BE5BEF</vt:lpwstr>
  </property>
</Properties>
</file>