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8C3DF">
      <w:pPr>
        <w:spacing w:line="360" w:lineRule="auto"/>
        <w:jc w:val="center"/>
        <w:rPr>
          <w:rFonts w:eastAsia="方正小标宋简体"/>
          <w:sz w:val="36"/>
          <w:szCs w:val="36"/>
          <w:u w:val="none"/>
        </w:rPr>
      </w:pPr>
      <w:r>
        <w:rPr>
          <w:rFonts w:hint="eastAsia" w:eastAsia="方正小标宋简体"/>
          <w:sz w:val="36"/>
          <w:szCs w:val="36"/>
          <w:u w:val="none"/>
        </w:rPr>
        <w:t>2025年度思政专项研究项目选题指南</w:t>
      </w:r>
    </w:p>
    <w:p w14:paraId="0A1EE83B">
      <w:pPr>
        <w:spacing w:line="360" w:lineRule="auto"/>
        <w:rPr>
          <w:rFonts w:eastAsia="仿宋_GB2312"/>
          <w:bCs/>
          <w:sz w:val="32"/>
          <w:szCs w:val="32"/>
          <w:u w:val="none"/>
        </w:rPr>
      </w:pPr>
    </w:p>
    <w:p w14:paraId="5EBFC4F9">
      <w:pPr>
        <w:spacing w:line="360" w:lineRule="auto"/>
        <w:jc w:val="left"/>
        <w:rPr>
          <w:rFonts w:eastAsia="黑体"/>
          <w:sz w:val="32"/>
          <w:szCs w:val="32"/>
          <w:u w:val="none"/>
        </w:rPr>
      </w:pPr>
      <w:r>
        <w:rPr>
          <w:rFonts w:hint="eastAsia" w:eastAsia="黑体"/>
          <w:sz w:val="32"/>
          <w:szCs w:val="32"/>
          <w:u w:val="none"/>
        </w:rPr>
        <w:t>一</w:t>
      </w:r>
      <w:r>
        <w:rPr>
          <w:rFonts w:eastAsia="黑体"/>
          <w:sz w:val="32"/>
          <w:szCs w:val="32"/>
          <w:u w:val="none"/>
        </w:rPr>
        <w:t>、党史党建</w:t>
      </w:r>
      <w:r>
        <w:rPr>
          <w:rFonts w:hint="eastAsia" w:eastAsia="黑体"/>
          <w:sz w:val="32"/>
          <w:szCs w:val="32"/>
          <w:u w:val="none"/>
        </w:rPr>
        <w:t>方向</w:t>
      </w:r>
    </w:p>
    <w:p w14:paraId="7DF45E5E">
      <w:pPr>
        <w:spacing w:line="360" w:lineRule="auto"/>
        <w:ind w:left="425" w:hanging="425"/>
        <w:jc w:val="left"/>
        <w:rPr>
          <w:rFonts w:eastAsia="仿宋_GB2312"/>
          <w:sz w:val="32"/>
          <w:szCs w:val="32"/>
          <w:u w:val="none"/>
        </w:rPr>
      </w:pPr>
      <w:r>
        <w:rPr>
          <w:rFonts w:hint="eastAsia" w:eastAsia="仿宋_GB2312"/>
          <w:sz w:val="32"/>
          <w:szCs w:val="32"/>
          <w:u w:val="none"/>
        </w:rPr>
        <w:t>1.</w:t>
      </w:r>
      <w:r>
        <w:rPr>
          <w:rFonts w:eastAsia="仿宋_GB2312"/>
          <w:sz w:val="32"/>
          <w:szCs w:val="32"/>
          <w:u w:val="none"/>
        </w:rPr>
        <w:t>马克思主义政党理论、史学理论研究</w:t>
      </w:r>
    </w:p>
    <w:p w14:paraId="22D53B27">
      <w:pPr>
        <w:spacing w:line="360" w:lineRule="auto"/>
        <w:ind w:left="425" w:hanging="425"/>
        <w:jc w:val="left"/>
        <w:rPr>
          <w:rFonts w:eastAsia="仿宋_GB2312"/>
          <w:sz w:val="32"/>
          <w:szCs w:val="32"/>
          <w:u w:val="none"/>
        </w:rPr>
      </w:pPr>
      <w:r>
        <w:rPr>
          <w:rFonts w:hint="eastAsia" w:eastAsia="仿宋_GB2312"/>
          <w:sz w:val="32"/>
          <w:szCs w:val="32"/>
          <w:u w:val="none"/>
        </w:rPr>
        <w:t>2.</w:t>
      </w:r>
      <w:r>
        <w:rPr>
          <w:rFonts w:eastAsia="仿宋_GB2312"/>
          <w:sz w:val="32"/>
          <w:szCs w:val="32"/>
          <w:u w:val="none"/>
        </w:rPr>
        <w:t>中国共产党思想政治教育、文化教育等专题研究</w:t>
      </w:r>
    </w:p>
    <w:p w14:paraId="694B1C82">
      <w:pPr>
        <w:spacing w:line="360" w:lineRule="auto"/>
        <w:ind w:left="425" w:hanging="425"/>
        <w:jc w:val="left"/>
        <w:rPr>
          <w:rFonts w:eastAsia="仿宋_GB2312"/>
          <w:sz w:val="32"/>
          <w:szCs w:val="32"/>
          <w:u w:val="none"/>
        </w:rPr>
      </w:pPr>
      <w:r>
        <w:rPr>
          <w:rFonts w:hint="eastAsia" w:eastAsia="仿宋_GB2312"/>
          <w:sz w:val="32"/>
          <w:szCs w:val="32"/>
          <w:u w:val="none"/>
        </w:rPr>
        <w:t>3.</w:t>
      </w:r>
      <w:r>
        <w:rPr>
          <w:rFonts w:eastAsia="仿宋_GB2312"/>
          <w:sz w:val="32"/>
          <w:szCs w:val="32"/>
          <w:u w:val="none"/>
        </w:rPr>
        <w:t>中国共产党宣传工作、意识形态工作等专题研究</w:t>
      </w:r>
    </w:p>
    <w:p w14:paraId="0191A329">
      <w:pPr>
        <w:spacing w:line="360" w:lineRule="auto"/>
        <w:ind w:left="425" w:hanging="425"/>
        <w:jc w:val="left"/>
        <w:rPr>
          <w:rFonts w:eastAsia="仿宋_GB2312"/>
          <w:sz w:val="32"/>
          <w:szCs w:val="32"/>
          <w:u w:val="none"/>
        </w:rPr>
      </w:pPr>
      <w:r>
        <w:rPr>
          <w:rFonts w:hint="eastAsia" w:eastAsia="仿宋_GB2312"/>
          <w:sz w:val="32"/>
          <w:szCs w:val="32"/>
          <w:u w:val="none"/>
        </w:rPr>
        <w:t>4.</w:t>
      </w:r>
      <w:r>
        <w:rPr>
          <w:rFonts w:eastAsia="仿宋_GB2312"/>
          <w:sz w:val="32"/>
          <w:szCs w:val="32"/>
          <w:u w:val="none"/>
        </w:rPr>
        <w:t>推进党史学习教育常态化长效化研究</w:t>
      </w:r>
    </w:p>
    <w:p w14:paraId="4B2D2001">
      <w:pPr>
        <w:spacing w:line="360" w:lineRule="auto"/>
        <w:ind w:left="425" w:hanging="425"/>
        <w:jc w:val="left"/>
        <w:rPr>
          <w:rFonts w:eastAsia="仿宋_GB2312"/>
          <w:sz w:val="32"/>
          <w:szCs w:val="32"/>
          <w:u w:val="none"/>
        </w:rPr>
      </w:pPr>
      <w:r>
        <w:rPr>
          <w:rFonts w:hint="eastAsia" w:eastAsia="仿宋_GB2312"/>
          <w:sz w:val="32"/>
          <w:szCs w:val="32"/>
          <w:u w:val="none"/>
        </w:rPr>
        <w:t>5.</w:t>
      </w:r>
      <w:r>
        <w:rPr>
          <w:rFonts w:eastAsia="仿宋_GB2312"/>
          <w:sz w:val="32"/>
          <w:szCs w:val="32"/>
          <w:u w:val="none"/>
        </w:rPr>
        <w:t>新时代党的思想建</w:t>
      </w:r>
      <w:r>
        <w:rPr>
          <w:rFonts w:hint="eastAsia" w:eastAsia="仿宋_GB2312"/>
          <w:sz w:val="32"/>
          <w:szCs w:val="32"/>
          <w:u w:val="none"/>
          <w:lang w:eastAsia="zh-CN"/>
        </w:rPr>
        <w:t>设的</w:t>
      </w:r>
      <w:r>
        <w:rPr>
          <w:rFonts w:eastAsia="仿宋_GB2312"/>
          <w:sz w:val="32"/>
          <w:szCs w:val="32"/>
          <w:u w:val="none"/>
        </w:rPr>
        <w:t>研究</w:t>
      </w:r>
    </w:p>
    <w:p w14:paraId="1D31A47A">
      <w:pPr>
        <w:spacing w:line="360" w:lineRule="auto"/>
        <w:ind w:left="425" w:hanging="425"/>
        <w:jc w:val="left"/>
        <w:rPr>
          <w:rFonts w:eastAsia="仿宋_GB2312"/>
          <w:sz w:val="32"/>
          <w:szCs w:val="32"/>
          <w:u w:val="none"/>
        </w:rPr>
      </w:pPr>
      <w:r>
        <w:rPr>
          <w:rFonts w:hint="eastAsia" w:eastAsia="仿宋_GB2312"/>
          <w:sz w:val="32"/>
          <w:szCs w:val="32"/>
          <w:u w:val="none"/>
        </w:rPr>
        <w:t>6.</w:t>
      </w:r>
      <w:r>
        <w:rPr>
          <w:rFonts w:eastAsia="仿宋_GB2312"/>
          <w:sz w:val="32"/>
          <w:szCs w:val="32"/>
          <w:u w:val="none"/>
        </w:rPr>
        <w:t>新时代党的宣传工作、统战工作研究等专题研究</w:t>
      </w:r>
    </w:p>
    <w:p w14:paraId="147FA0A8">
      <w:pPr>
        <w:spacing w:line="360" w:lineRule="auto"/>
        <w:ind w:left="425" w:hanging="425"/>
        <w:jc w:val="left"/>
        <w:rPr>
          <w:rFonts w:eastAsia="仿宋_GB2312"/>
          <w:sz w:val="32"/>
          <w:szCs w:val="32"/>
          <w:u w:val="none"/>
        </w:rPr>
      </w:pPr>
      <w:r>
        <w:rPr>
          <w:rFonts w:hint="eastAsia" w:eastAsia="仿宋_GB2312"/>
          <w:sz w:val="32"/>
          <w:szCs w:val="32"/>
          <w:u w:val="none"/>
        </w:rPr>
        <w:t>7.</w:t>
      </w:r>
      <w:r>
        <w:rPr>
          <w:rFonts w:eastAsia="仿宋_GB2312"/>
          <w:sz w:val="32"/>
          <w:szCs w:val="32"/>
          <w:u w:val="none"/>
        </w:rPr>
        <w:t>党建引领基层情感治理的内在机理与实践路径研究</w:t>
      </w:r>
    </w:p>
    <w:p w14:paraId="7F4319AE">
      <w:pPr>
        <w:spacing w:line="360" w:lineRule="auto"/>
        <w:ind w:left="425" w:hanging="425"/>
        <w:jc w:val="left"/>
        <w:rPr>
          <w:rFonts w:eastAsia="仿宋_GB2312"/>
          <w:sz w:val="32"/>
          <w:szCs w:val="32"/>
          <w:u w:val="none"/>
        </w:rPr>
      </w:pPr>
      <w:r>
        <w:rPr>
          <w:rFonts w:hint="eastAsia" w:eastAsia="仿宋_GB2312"/>
          <w:sz w:val="32"/>
          <w:szCs w:val="32"/>
          <w:u w:val="none"/>
        </w:rPr>
        <w:t>8.人工智能+党建的实践创新与风险防范研究</w:t>
      </w:r>
    </w:p>
    <w:p w14:paraId="4C3D2172">
      <w:pPr>
        <w:spacing w:line="360" w:lineRule="auto"/>
        <w:jc w:val="left"/>
        <w:rPr>
          <w:rFonts w:eastAsia="黑体"/>
          <w:sz w:val="32"/>
          <w:szCs w:val="32"/>
          <w:u w:val="none"/>
        </w:rPr>
      </w:pPr>
      <w:r>
        <w:rPr>
          <w:rFonts w:hint="eastAsia" w:eastAsia="黑体"/>
          <w:sz w:val="32"/>
          <w:szCs w:val="32"/>
          <w:u w:val="none"/>
        </w:rPr>
        <w:t>二</w:t>
      </w:r>
      <w:r>
        <w:rPr>
          <w:rFonts w:eastAsia="黑体"/>
          <w:sz w:val="32"/>
          <w:szCs w:val="32"/>
          <w:u w:val="none"/>
        </w:rPr>
        <w:t>、教育强国</w:t>
      </w:r>
      <w:r>
        <w:rPr>
          <w:rFonts w:hint="eastAsia" w:eastAsia="黑体"/>
          <w:sz w:val="32"/>
          <w:szCs w:val="32"/>
          <w:u w:val="none"/>
        </w:rPr>
        <w:t>方向</w:t>
      </w:r>
    </w:p>
    <w:p w14:paraId="6038E85B">
      <w:pPr>
        <w:spacing w:line="360" w:lineRule="auto"/>
        <w:ind w:left="425" w:hanging="425"/>
        <w:jc w:val="left"/>
        <w:rPr>
          <w:rFonts w:eastAsia="仿宋_GB2312"/>
          <w:sz w:val="32"/>
          <w:szCs w:val="32"/>
          <w:u w:val="none"/>
        </w:rPr>
      </w:pPr>
      <w:r>
        <w:rPr>
          <w:rFonts w:eastAsia="仿宋_GB2312"/>
          <w:sz w:val="32"/>
          <w:szCs w:val="32"/>
          <w:u w:val="none"/>
        </w:rPr>
        <w:t>1.教育强国背景下</w:t>
      </w:r>
      <w:r>
        <w:rPr>
          <w:rFonts w:hint="eastAsia" w:eastAsia="仿宋_GB2312"/>
          <w:sz w:val="32"/>
          <w:szCs w:val="32"/>
          <w:u w:val="none"/>
          <w:lang w:eastAsia="zh-CN"/>
        </w:rPr>
        <w:t>思想引领力</w:t>
      </w:r>
      <w:r>
        <w:rPr>
          <w:rFonts w:eastAsia="仿宋_GB2312"/>
          <w:sz w:val="32"/>
          <w:szCs w:val="32"/>
          <w:u w:val="none"/>
        </w:rPr>
        <w:t>的内涵拓展与实践路径研究</w:t>
      </w:r>
    </w:p>
    <w:p w14:paraId="0236D204">
      <w:pPr>
        <w:spacing w:line="360" w:lineRule="auto"/>
        <w:ind w:left="425" w:hanging="425"/>
        <w:jc w:val="left"/>
        <w:rPr>
          <w:rFonts w:eastAsia="仿宋_GB2312"/>
          <w:sz w:val="32"/>
          <w:szCs w:val="32"/>
          <w:u w:val="none"/>
        </w:rPr>
      </w:pPr>
      <w:r>
        <w:rPr>
          <w:rFonts w:eastAsia="仿宋_GB2312"/>
          <w:sz w:val="32"/>
          <w:szCs w:val="32"/>
          <w:u w:val="none"/>
        </w:rPr>
        <w:t>2.教育强国背景下</w:t>
      </w:r>
      <w:r>
        <w:rPr>
          <w:rFonts w:hint="eastAsia" w:eastAsia="仿宋_GB2312"/>
          <w:sz w:val="32"/>
          <w:szCs w:val="32"/>
          <w:u w:val="none"/>
          <w:lang w:eastAsia="zh-CN"/>
        </w:rPr>
        <w:t>思想引领力</w:t>
      </w:r>
      <w:r>
        <w:rPr>
          <w:rFonts w:eastAsia="仿宋_GB2312"/>
          <w:sz w:val="32"/>
          <w:szCs w:val="32"/>
          <w:u w:val="none"/>
        </w:rPr>
        <w:t>指标体系构建与贵州实践研究</w:t>
      </w:r>
    </w:p>
    <w:p w14:paraId="0C238699">
      <w:pPr>
        <w:spacing w:line="360" w:lineRule="auto"/>
        <w:ind w:left="425" w:hanging="425"/>
        <w:jc w:val="left"/>
        <w:rPr>
          <w:rFonts w:eastAsia="仿宋_GB2312"/>
          <w:sz w:val="32"/>
          <w:szCs w:val="32"/>
          <w:u w:val="none"/>
        </w:rPr>
      </w:pPr>
      <w:r>
        <w:rPr>
          <w:rFonts w:eastAsia="仿宋_GB2312"/>
          <w:sz w:val="32"/>
          <w:szCs w:val="32"/>
          <w:u w:val="none"/>
        </w:rPr>
        <w:t>3.新时代高校</w:t>
      </w:r>
      <w:r>
        <w:rPr>
          <w:rFonts w:hint="eastAsia" w:eastAsia="仿宋_GB2312"/>
          <w:sz w:val="32"/>
          <w:szCs w:val="32"/>
          <w:u w:val="none"/>
          <w:lang w:eastAsia="zh-CN"/>
        </w:rPr>
        <w:t>思想引领力</w:t>
      </w:r>
      <w:r>
        <w:rPr>
          <w:rFonts w:eastAsia="仿宋_GB2312"/>
          <w:sz w:val="32"/>
          <w:szCs w:val="32"/>
          <w:u w:val="none"/>
        </w:rPr>
        <w:t>与学科专业协同育人机制创新</w:t>
      </w:r>
      <w:r>
        <w:rPr>
          <w:rFonts w:hint="eastAsia" w:eastAsia="仿宋_GB2312"/>
          <w:sz w:val="32"/>
          <w:szCs w:val="32"/>
          <w:u w:val="none"/>
        </w:rPr>
        <w:t>研究</w:t>
      </w:r>
    </w:p>
    <w:p w14:paraId="49EF5654">
      <w:pPr>
        <w:spacing w:line="360" w:lineRule="auto"/>
        <w:ind w:left="425" w:hanging="425"/>
        <w:jc w:val="left"/>
        <w:rPr>
          <w:rFonts w:eastAsia="仿宋_GB2312"/>
          <w:sz w:val="32"/>
          <w:szCs w:val="32"/>
          <w:u w:val="none"/>
        </w:rPr>
      </w:pPr>
      <w:r>
        <w:rPr>
          <w:rFonts w:eastAsia="黑体"/>
          <w:sz w:val="32"/>
          <w:szCs w:val="32"/>
          <w:u w:val="none"/>
        </w:rPr>
        <w:t>4.</w:t>
      </w:r>
      <w:r>
        <w:rPr>
          <w:rFonts w:eastAsia="仿宋_GB2312"/>
          <w:sz w:val="32"/>
          <w:szCs w:val="32"/>
          <w:u w:val="none"/>
        </w:rPr>
        <w:t>教育强国战略中</w:t>
      </w:r>
      <w:r>
        <w:rPr>
          <w:rFonts w:hint="eastAsia" w:eastAsia="仿宋_GB2312"/>
          <w:sz w:val="32"/>
          <w:szCs w:val="32"/>
          <w:u w:val="none"/>
          <w:lang w:eastAsia="zh-CN"/>
        </w:rPr>
        <w:t>思想引领力</w:t>
      </w:r>
      <w:r>
        <w:rPr>
          <w:rFonts w:eastAsia="仿宋_GB2312"/>
          <w:sz w:val="32"/>
          <w:szCs w:val="32"/>
          <w:u w:val="none"/>
        </w:rPr>
        <w:t>与科技支撑力协同发展研究</w:t>
      </w:r>
    </w:p>
    <w:p w14:paraId="7DCFAE91">
      <w:pPr>
        <w:spacing w:line="360" w:lineRule="auto"/>
        <w:ind w:left="425" w:hanging="425"/>
        <w:jc w:val="left"/>
        <w:rPr>
          <w:rFonts w:eastAsia="仿宋_GB2312"/>
          <w:sz w:val="32"/>
          <w:szCs w:val="32"/>
          <w:u w:val="none"/>
        </w:rPr>
      </w:pPr>
      <w:r>
        <w:rPr>
          <w:rFonts w:hint="eastAsia" w:eastAsia="仿宋_GB2312"/>
          <w:sz w:val="32"/>
          <w:szCs w:val="32"/>
          <w:u w:val="none"/>
        </w:rPr>
        <w:t>5.</w:t>
      </w:r>
      <w:r>
        <w:rPr>
          <w:rFonts w:eastAsia="仿宋_GB2312"/>
          <w:sz w:val="32"/>
          <w:szCs w:val="32"/>
          <w:u w:val="none"/>
        </w:rPr>
        <w:t>高校思政课讲好中国式现代化故事的叙事策略研究</w:t>
      </w:r>
    </w:p>
    <w:p w14:paraId="2368EE55">
      <w:pPr>
        <w:spacing w:line="360" w:lineRule="auto"/>
        <w:ind w:left="425" w:hanging="425"/>
        <w:jc w:val="left"/>
        <w:rPr>
          <w:rFonts w:eastAsia="仿宋_GB2312"/>
          <w:sz w:val="32"/>
          <w:szCs w:val="32"/>
          <w:u w:val="none"/>
        </w:rPr>
      </w:pPr>
      <w:r>
        <w:rPr>
          <w:rFonts w:hint="eastAsia" w:eastAsia="仿宋_GB2312"/>
          <w:sz w:val="32"/>
          <w:szCs w:val="32"/>
          <w:u w:val="none"/>
        </w:rPr>
        <w:t>6.</w:t>
      </w:r>
      <w:r>
        <w:rPr>
          <w:rFonts w:eastAsia="仿宋_GB2312"/>
          <w:sz w:val="32"/>
          <w:szCs w:val="32"/>
          <w:u w:val="none"/>
        </w:rPr>
        <w:t>高校思想政治理论课有效性研究</w:t>
      </w:r>
    </w:p>
    <w:p w14:paraId="0B8BFDE3">
      <w:pPr>
        <w:spacing w:line="360" w:lineRule="auto"/>
        <w:ind w:left="425" w:hanging="425"/>
        <w:jc w:val="left"/>
        <w:rPr>
          <w:rFonts w:eastAsia="仿宋_GB2312"/>
          <w:sz w:val="32"/>
          <w:szCs w:val="32"/>
          <w:u w:val="none"/>
        </w:rPr>
      </w:pPr>
      <w:r>
        <w:rPr>
          <w:rFonts w:hint="eastAsia" w:eastAsia="仿宋_GB2312"/>
          <w:sz w:val="32"/>
          <w:szCs w:val="32"/>
          <w:u w:val="none"/>
        </w:rPr>
        <w:t>7.国家一流思政课程建设路径研究</w:t>
      </w:r>
    </w:p>
    <w:p w14:paraId="14979A20">
      <w:pPr>
        <w:spacing w:line="360" w:lineRule="auto"/>
        <w:jc w:val="left"/>
        <w:rPr>
          <w:rFonts w:eastAsia="黑体"/>
          <w:sz w:val="32"/>
          <w:szCs w:val="32"/>
          <w:u w:val="none"/>
        </w:rPr>
      </w:pPr>
      <w:r>
        <w:rPr>
          <w:rFonts w:hint="eastAsia" w:eastAsia="黑体"/>
          <w:sz w:val="32"/>
          <w:szCs w:val="32"/>
          <w:u w:val="none"/>
        </w:rPr>
        <w:t>三</w:t>
      </w:r>
      <w:r>
        <w:rPr>
          <w:rFonts w:eastAsia="黑体"/>
          <w:sz w:val="32"/>
          <w:szCs w:val="32"/>
          <w:u w:val="none"/>
        </w:rPr>
        <w:t>、</w:t>
      </w:r>
      <w:r>
        <w:rPr>
          <w:rFonts w:hint="eastAsia" w:eastAsia="黑体"/>
          <w:sz w:val="32"/>
          <w:szCs w:val="32"/>
          <w:u w:val="none"/>
        </w:rPr>
        <w:t>贵州特色</w:t>
      </w:r>
      <w:r>
        <w:rPr>
          <w:rFonts w:eastAsia="黑体"/>
          <w:sz w:val="32"/>
          <w:szCs w:val="32"/>
          <w:u w:val="none"/>
        </w:rPr>
        <w:t>“</w:t>
      </w:r>
      <w:r>
        <w:rPr>
          <w:rFonts w:hint="eastAsia" w:eastAsia="黑体"/>
          <w:sz w:val="32"/>
          <w:szCs w:val="32"/>
          <w:u w:val="none"/>
        </w:rPr>
        <w:t>大</w:t>
      </w:r>
      <w:r>
        <w:rPr>
          <w:rFonts w:eastAsia="黑体"/>
          <w:sz w:val="32"/>
          <w:szCs w:val="32"/>
          <w:u w:val="none"/>
        </w:rPr>
        <w:t>思政课”</w:t>
      </w:r>
      <w:r>
        <w:rPr>
          <w:rFonts w:hint="eastAsia" w:eastAsia="黑体"/>
          <w:sz w:val="32"/>
          <w:szCs w:val="32"/>
          <w:u w:val="none"/>
        </w:rPr>
        <w:t>方向</w:t>
      </w:r>
    </w:p>
    <w:p w14:paraId="17007AFE">
      <w:pPr>
        <w:spacing w:line="360" w:lineRule="auto"/>
        <w:ind w:left="425" w:hanging="425"/>
        <w:jc w:val="left"/>
        <w:rPr>
          <w:rFonts w:eastAsia="仿宋_GB2312"/>
          <w:sz w:val="32"/>
          <w:szCs w:val="32"/>
          <w:u w:val="none"/>
        </w:rPr>
      </w:pPr>
      <w:r>
        <w:rPr>
          <w:rFonts w:hint="eastAsia" w:eastAsia="仿宋_GB2312"/>
          <w:sz w:val="32"/>
          <w:szCs w:val="32"/>
          <w:u w:val="none"/>
        </w:rPr>
        <w:t>1.</w:t>
      </w:r>
      <w:r>
        <w:rPr>
          <w:rFonts w:eastAsia="仿宋_GB2312"/>
          <w:sz w:val="32"/>
          <w:szCs w:val="32"/>
          <w:u w:val="none"/>
        </w:rPr>
        <w:t>红色资源融入“行走的思政课”教学模式研究</w:t>
      </w:r>
    </w:p>
    <w:p w14:paraId="087B330D">
      <w:pPr>
        <w:spacing w:line="360" w:lineRule="auto"/>
        <w:ind w:left="425" w:hanging="425"/>
        <w:jc w:val="left"/>
        <w:rPr>
          <w:rFonts w:eastAsia="仿宋_GB2312"/>
          <w:sz w:val="32"/>
          <w:szCs w:val="32"/>
          <w:u w:val="none"/>
        </w:rPr>
      </w:pPr>
      <w:r>
        <w:rPr>
          <w:rFonts w:hint="eastAsia" w:eastAsia="仿宋_GB2312"/>
          <w:sz w:val="32"/>
          <w:szCs w:val="32"/>
          <w:u w:val="none"/>
        </w:rPr>
        <w:t>2</w:t>
      </w:r>
      <w:r>
        <w:rPr>
          <w:rFonts w:eastAsia="仿宋_GB2312"/>
          <w:sz w:val="32"/>
          <w:szCs w:val="32"/>
          <w:u w:val="none"/>
        </w:rPr>
        <w:t>.“行走的思政课”与乡村振兴协同发展模式研究</w:t>
      </w:r>
    </w:p>
    <w:p w14:paraId="796225DA">
      <w:pPr>
        <w:spacing w:line="360" w:lineRule="auto"/>
        <w:ind w:left="425" w:hanging="425"/>
        <w:jc w:val="left"/>
        <w:rPr>
          <w:rFonts w:eastAsia="仿宋_GB2312"/>
          <w:sz w:val="32"/>
          <w:szCs w:val="32"/>
          <w:u w:val="none"/>
        </w:rPr>
      </w:pPr>
      <w:r>
        <w:rPr>
          <w:rFonts w:hint="eastAsia" w:eastAsia="仿宋_GB2312"/>
          <w:sz w:val="32"/>
          <w:szCs w:val="32"/>
          <w:u w:val="none"/>
        </w:rPr>
        <w:t>3</w:t>
      </w:r>
      <w:r>
        <w:rPr>
          <w:rFonts w:eastAsia="仿宋_GB2312"/>
          <w:sz w:val="32"/>
          <w:szCs w:val="32"/>
          <w:u w:val="none"/>
        </w:rPr>
        <w:t>.“行走的思政课”与</w:t>
      </w:r>
      <w:r>
        <w:rPr>
          <w:rFonts w:hint="eastAsia" w:eastAsia="仿宋_GB2312"/>
          <w:sz w:val="32"/>
          <w:szCs w:val="32"/>
          <w:u w:val="none"/>
        </w:rPr>
        <w:t>大学生</w:t>
      </w:r>
      <w:r>
        <w:rPr>
          <w:rFonts w:eastAsia="仿宋_GB2312"/>
          <w:sz w:val="32"/>
          <w:szCs w:val="32"/>
          <w:u w:val="none"/>
        </w:rPr>
        <w:t>劳动教育融合路径研究</w:t>
      </w:r>
    </w:p>
    <w:p w14:paraId="45531BE0">
      <w:pPr>
        <w:spacing w:line="360" w:lineRule="auto"/>
        <w:ind w:left="425" w:hanging="425"/>
        <w:jc w:val="left"/>
        <w:rPr>
          <w:rFonts w:eastAsia="仿宋_GB2312"/>
          <w:sz w:val="32"/>
          <w:szCs w:val="32"/>
          <w:u w:val="none"/>
        </w:rPr>
      </w:pPr>
      <w:r>
        <w:rPr>
          <w:rFonts w:hint="eastAsia" w:eastAsia="黑体"/>
          <w:sz w:val="32"/>
          <w:szCs w:val="32"/>
          <w:u w:val="none"/>
        </w:rPr>
        <w:t>4</w:t>
      </w:r>
      <w:r>
        <w:rPr>
          <w:rFonts w:eastAsia="黑体"/>
          <w:sz w:val="32"/>
          <w:szCs w:val="32"/>
          <w:u w:val="none"/>
        </w:rPr>
        <w:t>.</w:t>
      </w:r>
      <w:r>
        <w:rPr>
          <w:rFonts w:eastAsia="仿宋_GB2312"/>
          <w:sz w:val="32"/>
          <w:szCs w:val="32"/>
          <w:u w:val="none"/>
        </w:rPr>
        <w:t>“行走的思政课”评价体系构建与实践创新研究</w:t>
      </w:r>
    </w:p>
    <w:p w14:paraId="206127A2">
      <w:pPr>
        <w:spacing w:line="360" w:lineRule="auto"/>
        <w:ind w:left="425" w:hanging="425"/>
        <w:jc w:val="left"/>
        <w:rPr>
          <w:rFonts w:eastAsia="仿宋_GB2312"/>
          <w:sz w:val="32"/>
          <w:szCs w:val="32"/>
          <w:u w:val="none"/>
        </w:rPr>
      </w:pPr>
      <w:r>
        <w:rPr>
          <w:rFonts w:hint="eastAsia" w:eastAsia="仿宋_GB2312"/>
          <w:sz w:val="32"/>
          <w:szCs w:val="32"/>
          <w:u w:val="none"/>
        </w:rPr>
        <w:t>5.</w:t>
      </w:r>
      <w:r>
        <w:rPr>
          <w:rFonts w:eastAsia="仿宋_GB2312"/>
          <w:sz w:val="32"/>
          <w:szCs w:val="32"/>
          <w:u w:val="none"/>
        </w:rPr>
        <w:t>以</w:t>
      </w:r>
      <w:r>
        <w:rPr>
          <w:rFonts w:hint="eastAsia" w:eastAsia="仿宋_GB2312"/>
          <w:sz w:val="32"/>
          <w:szCs w:val="32"/>
          <w:u w:val="none"/>
          <w:lang w:eastAsia="zh-CN"/>
        </w:rPr>
        <w:t>思想引领力</w:t>
      </w:r>
      <w:r>
        <w:rPr>
          <w:rFonts w:eastAsia="仿宋_GB2312"/>
          <w:sz w:val="32"/>
          <w:szCs w:val="32"/>
          <w:u w:val="none"/>
        </w:rPr>
        <w:t>助力“思政小课堂”与“社会大课堂”融合发展研究</w:t>
      </w:r>
    </w:p>
    <w:p w14:paraId="4A3A41BA">
      <w:pPr>
        <w:spacing w:line="360" w:lineRule="auto"/>
        <w:ind w:left="425" w:hanging="425"/>
        <w:jc w:val="left"/>
        <w:rPr>
          <w:rFonts w:eastAsia="仿宋_GB2312"/>
          <w:sz w:val="32"/>
          <w:szCs w:val="32"/>
          <w:u w:val="none"/>
        </w:rPr>
      </w:pPr>
      <w:r>
        <w:rPr>
          <w:rFonts w:hint="eastAsia" w:eastAsia="仿宋_GB2312"/>
          <w:sz w:val="32"/>
          <w:szCs w:val="32"/>
          <w:u w:val="none"/>
        </w:rPr>
        <w:t>6</w:t>
      </w:r>
      <w:r>
        <w:rPr>
          <w:rFonts w:eastAsia="仿宋_GB2312"/>
          <w:sz w:val="32"/>
          <w:szCs w:val="32"/>
          <w:u w:val="none"/>
        </w:rPr>
        <w:t>.音乐思政课中红色经典作品教学设计与传播效能研究</w:t>
      </w:r>
    </w:p>
    <w:p w14:paraId="37F8482C">
      <w:pPr>
        <w:spacing w:line="360" w:lineRule="auto"/>
        <w:ind w:left="425" w:hanging="425"/>
        <w:jc w:val="left"/>
        <w:rPr>
          <w:rFonts w:eastAsia="仿宋_GB2312"/>
          <w:sz w:val="32"/>
          <w:szCs w:val="32"/>
          <w:u w:val="none"/>
        </w:rPr>
      </w:pPr>
      <w:r>
        <w:rPr>
          <w:rFonts w:hint="eastAsia" w:eastAsia="仿宋_GB2312"/>
          <w:sz w:val="32"/>
          <w:szCs w:val="32"/>
          <w:u w:val="none"/>
        </w:rPr>
        <w:t>7</w:t>
      </w:r>
      <w:r>
        <w:rPr>
          <w:rFonts w:eastAsia="仿宋_GB2312"/>
          <w:sz w:val="32"/>
          <w:szCs w:val="32"/>
          <w:u w:val="none"/>
        </w:rPr>
        <w:t>.戏剧思政课的创编模式与育人功能实现路径</w:t>
      </w:r>
      <w:r>
        <w:rPr>
          <w:rFonts w:hint="eastAsia" w:eastAsia="仿宋_GB2312"/>
          <w:sz w:val="32"/>
          <w:szCs w:val="32"/>
          <w:u w:val="none"/>
        </w:rPr>
        <w:t>研究</w:t>
      </w:r>
    </w:p>
    <w:p w14:paraId="4AF5A463">
      <w:pPr>
        <w:spacing w:line="360" w:lineRule="auto"/>
        <w:ind w:left="425" w:hanging="425"/>
        <w:jc w:val="left"/>
        <w:rPr>
          <w:rFonts w:eastAsia="仿宋_GB2312"/>
          <w:sz w:val="32"/>
          <w:szCs w:val="32"/>
          <w:u w:val="none"/>
        </w:rPr>
      </w:pPr>
      <w:r>
        <w:rPr>
          <w:rFonts w:hint="eastAsia" w:eastAsia="仿宋_GB2312"/>
          <w:sz w:val="32"/>
          <w:szCs w:val="32"/>
          <w:u w:val="none"/>
        </w:rPr>
        <w:t>8</w:t>
      </w:r>
      <w:r>
        <w:rPr>
          <w:rFonts w:eastAsia="仿宋_GB2312"/>
          <w:sz w:val="32"/>
          <w:szCs w:val="32"/>
          <w:u w:val="none"/>
        </w:rPr>
        <w:t>.美术经典中的思政元素挖掘与课程开发</w:t>
      </w:r>
      <w:r>
        <w:rPr>
          <w:rFonts w:hint="eastAsia" w:eastAsia="仿宋_GB2312"/>
          <w:sz w:val="32"/>
          <w:szCs w:val="32"/>
          <w:u w:val="none"/>
        </w:rPr>
        <w:t>研究</w:t>
      </w:r>
    </w:p>
    <w:p w14:paraId="4CB05317">
      <w:pPr>
        <w:spacing w:line="360" w:lineRule="auto"/>
        <w:ind w:left="425" w:hanging="425"/>
        <w:jc w:val="left"/>
        <w:rPr>
          <w:rFonts w:eastAsia="仿宋_GB2312"/>
          <w:sz w:val="32"/>
          <w:szCs w:val="32"/>
          <w:u w:val="none"/>
        </w:rPr>
      </w:pPr>
      <w:r>
        <w:rPr>
          <w:rFonts w:hint="eastAsia" w:eastAsia="仿宋_GB2312"/>
          <w:sz w:val="32"/>
          <w:szCs w:val="32"/>
          <w:u w:val="none"/>
        </w:rPr>
        <w:t>9.</w:t>
      </w:r>
      <w:r>
        <w:rPr>
          <w:rFonts w:eastAsia="仿宋_GB2312"/>
          <w:sz w:val="32"/>
          <w:szCs w:val="32"/>
          <w:u w:val="none"/>
        </w:rPr>
        <w:t>美育视域下艺术思政课</w:t>
      </w:r>
      <w:r>
        <w:rPr>
          <w:rFonts w:hint="eastAsia" w:eastAsia="仿宋_GB2312"/>
          <w:sz w:val="32"/>
          <w:szCs w:val="32"/>
          <w:u w:val="none"/>
        </w:rPr>
        <w:t>对大</w:t>
      </w:r>
      <w:r>
        <w:rPr>
          <w:rFonts w:eastAsia="仿宋_GB2312"/>
          <w:sz w:val="32"/>
          <w:szCs w:val="32"/>
          <w:u w:val="none"/>
        </w:rPr>
        <w:t>学生文化自信的影响机制研究</w:t>
      </w:r>
    </w:p>
    <w:p w14:paraId="23706D21">
      <w:pPr>
        <w:spacing w:line="360" w:lineRule="auto"/>
        <w:ind w:left="425" w:hanging="425"/>
        <w:jc w:val="left"/>
        <w:rPr>
          <w:rFonts w:eastAsia="仿宋_GB2312"/>
          <w:sz w:val="32"/>
          <w:szCs w:val="32"/>
          <w:u w:val="none"/>
        </w:rPr>
      </w:pPr>
      <w:r>
        <w:rPr>
          <w:rFonts w:hint="eastAsia" w:eastAsia="仿宋_GB2312"/>
          <w:sz w:val="32"/>
          <w:szCs w:val="32"/>
          <w:u w:val="none"/>
        </w:rPr>
        <w:t>10</w:t>
      </w:r>
      <w:r>
        <w:rPr>
          <w:rFonts w:eastAsia="仿宋_GB2312"/>
          <w:sz w:val="32"/>
          <w:szCs w:val="32"/>
          <w:u w:val="none"/>
        </w:rPr>
        <w:t>.</w:t>
      </w:r>
      <w:r>
        <w:rPr>
          <w:rFonts w:hint="eastAsia" w:eastAsia="仿宋_GB2312"/>
          <w:sz w:val="32"/>
          <w:szCs w:val="32"/>
          <w:u w:val="none"/>
        </w:rPr>
        <w:t>数智</w:t>
      </w:r>
      <w:r>
        <w:rPr>
          <w:rFonts w:eastAsia="仿宋_GB2312"/>
          <w:sz w:val="32"/>
          <w:szCs w:val="32"/>
          <w:u w:val="none"/>
        </w:rPr>
        <w:t>时代艺术思政课传播矩阵构建研究</w:t>
      </w:r>
    </w:p>
    <w:p w14:paraId="2B174150">
      <w:pPr>
        <w:spacing w:line="360" w:lineRule="auto"/>
        <w:ind w:left="425" w:hanging="425"/>
        <w:jc w:val="left"/>
        <w:rPr>
          <w:rFonts w:eastAsia="仿宋_GB2312"/>
          <w:sz w:val="32"/>
          <w:szCs w:val="32"/>
          <w:u w:val="none"/>
        </w:rPr>
      </w:pPr>
      <w:r>
        <w:rPr>
          <w:rFonts w:hint="eastAsia" w:eastAsia="黑体"/>
          <w:sz w:val="32"/>
          <w:szCs w:val="32"/>
          <w:u w:val="none"/>
        </w:rPr>
        <w:t>11</w:t>
      </w:r>
      <w:r>
        <w:rPr>
          <w:rFonts w:eastAsia="黑体"/>
          <w:sz w:val="32"/>
          <w:szCs w:val="32"/>
          <w:u w:val="none"/>
        </w:rPr>
        <w:t>.</w:t>
      </w:r>
      <w:r>
        <w:rPr>
          <w:rFonts w:eastAsia="仿宋_GB2312"/>
          <w:sz w:val="32"/>
          <w:szCs w:val="32"/>
          <w:u w:val="none"/>
        </w:rPr>
        <w:t>艺术思政课的场景化教学模式构建研究</w:t>
      </w:r>
    </w:p>
    <w:p w14:paraId="363167FD">
      <w:pPr>
        <w:spacing w:line="360" w:lineRule="auto"/>
        <w:ind w:left="425" w:hanging="425"/>
        <w:jc w:val="left"/>
        <w:rPr>
          <w:rFonts w:eastAsia="仿宋_GB2312"/>
          <w:sz w:val="32"/>
          <w:szCs w:val="32"/>
          <w:u w:val="none"/>
        </w:rPr>
      </w:pPr>
      <w:r>
        <w:rPr>
          <w:rFonts w:hint="eastAsia" w:eastAsia="仿宋_GB2312"/>
          <w:sz w:val="32"/>
          <w:szCs w:val="32"/>
          <w:u w:val="none"/>
        </w:rPr>
        <w:t>12.</w:t>
      </w:r>
      <w:r>
        <w:rPr>
          <w:rFonts w:eastAsia="仿宋_GB2312"/>
          <w:sz w:val="32"/>
          <w:szCs w:val="32"/>
          <w:u w:val="none"/>
        </w:rPr>
        <w:t>红色影视融入高校思政课教学的</w:t>
      </w:r>
      <w:r>
        <w:rPr>
          <w:rFonts w:hint="eastAsia" w:eastAsia="仿宋_GB2312"/>
          <w:sz w:val="32"/>
          <w:szCs w:val="32"/>
          <w:u w:val="none"/>
          <w:lang w:eastAsia="zh-CN"/>
        </w:rPr>
        <w:t>时度效</w:t>
      </w:r>
      <w:r>
        <w:rPr>
          <w:rFonts w:eastAsia="仿宋_GB2312"/>
          <w:sz w:val="32"/>
          <w:szCs w:val="32"/>
          <w:u w:val="none"/>
        </w:rPr>
        <w:t>研究</w:t>
      </w:r>
    </w:p>
    <w:p w14:paraId="206F2B28">
      <w:pPr>
        <w:spacing w:line="360" w:lineRule="auto"/>
        <w:jc w:val="left"/>
        <w:rPr>
          <w:rFonts w:eastAsia="黑体"/>
          <w:sz w:val="32"/>
          <w:szCs w:val="32"/>
          <w:u w:val="none"/>
        </w:rPr>
      </w:pPr>
      <w:r>
        <w:rPr>
          <w:rFonts w:hint="eastAsia" w:eastAsia="黑体"/>
          <w:sz w:val="32"/>
          <w:szCs w:val="32"/>
          <w:u w:val="none"/>
        </w:rPr>
        <w:t>四</w:t>
      </w:r>
      <w:r>
        <w:rPr>
          <w:rFonts w:eastAsia="黑体"/>
          <w:sz w:val="32"/>
          <w:szCs w:val="32"/>
          <w:u w:val="none"/>
        </w:rPr>
        <w:t>、</w:t>
      </w:r>
      <w:r>
        <w:rPr>
          <w:rFonts w:hint="eastAsia" w:eastAsia="黑体"/>
          <w:sz w:val="32"/>
          <w:szCs w:val="32"/>
          <w:u w:val="none"/>
        </w:rPr>
        <w:t>“</w:t>
      </w:r>
      <w:r>
        <w:rPr>
          <w:rFonts w:eastAsia="黑体"/>
          <w:sz w:val="32"/>
          <w:szCs w:val="32"/>
          <w:u w:val="none"/>
        </w:rPr>
        <w:t>AI</w:t>
      </w:r>
      <w:r>
        <w:rPr>
          <w:rFonts w:hint="eastAsia" w:eastAsia="黑体"/>
          <w:sz w:val="32"/>
          <w:szCs w:val="32"/>
          <w:u w:val="none"/>
        </w:rPr>
        <w:t>+</w:t>
      </w:r>
      <w:r>
        <w:rPr>
          <w:rFonts w:eastAsia="黑体"/>
          <w:sz w:val="32"/>
          <w:szCs w:val="32"/>
          <w:u w:val="none"/>
        </w:rPr>
        <w:t>思政</w:t>
      </w:r>
      <w:r>
        <w:rPr>
          <w:rFonts w:hint="eastAsia" w:eastAsia="黑体"/>
          <w:sz w:val="32"/>
          <w:szCs w:val="32"/>
          <w:u w:val="none"/>
        </w:rPr>
        <w:t>”方向</w:t>
      </w:r>
    </w:p>
    <w:p w14:paraId="63D753A1">
      <w:pPr>
        <w:spacing w:line="360" w:lineRule="auto"/>
        <w:ind w:left="425" w:hanging="425"/>
        <w:jc w:val="left"/>
        <w:rPr>
          <w:rFonts w:eastAsia="仿宋_GB2312"/>
          <w:sz w:val="32"/>
          <w:szCs w:val="32"/>
          <w:u w:val="none"/>
        </w:rPr>
      </w:pPr>
      <w:r>
        <w:rPr>
          <w:rFonts w:hint="eastAsia" w:eastAsia="仿宋_GB2312"/>
          <w:sz w:val="32"/>
          <w:szCs w:val="32"/>
          <w:u w:val="none"/>
        </w:rPr>
        <w:t>1</w:t>
      </w:r>
      <w:r>
        <w:rPr>
          <w:rFonts w:eastAsia="仿宋_GB2312"/>
          <w:sz w:val="32"/>
          <w:szCs w:val="32"/>
          <w:u w:val="none"/>
        </w:rPr>
        <w:t>.AI思政课智能教学平台开发与个性化学习模式研究</w:t>
      </w:r>
    </w:p>
    <w:p w14:paraId="56B026DF">
      <w:pPr>
        <w:spacing w:line="360" w:lineRule="auto"/>
        <w:ind w:left="425" w:hanging="425"/>
        <w:jc w:val="left"/>
        <w:rPr>
          <w:rFonts w:eastAsia="仿宋_GB2312"/>
          <w:sz w:val="32"/>
          <w:szCs w:val="32"/>
          <w:u w:val="none"/>
        </w:rPr>
      </w:pPr>
      <w:r>
        <w:rPr>
          <w:rFonts w:hint="eastAsia" w:eastAsia="仿宋_GB2312"/>
          <w:sz w:val="32"/>
          <w:szCs w:val="32"/>
          <w:u w:val="none"/>
        </w:rPr>
        <w:t>2</w:t>
      </w:r>
      <w:r>
        <w:rPr>
          <w:rFonts w:eastAsia="仿宋_GB2312"/>
          <w:sz w:val="32"/>
          <w:szCs w:val="32"/>
          <w:u w:val="none"/>
        </w:rPr>
        <w:t>.AI技术在思政课中的应用伦理与边界</w:t>
      </w:r>
      <w:r>
        <w:rPr>
          <w:rFonts w:hint="eastAsia" w:eastAsia="仿宋_GB2312"/>
          <w:sz w:val="32"/>
          <w:szCs w:val="32"/>
          <w:u w:val="none"/>
        </w:rPr>
        <w:t>勘定</w:t>
      </w:r>
      <w:r>
        <w:rPr>
          <w:rFonts w:eastAsia="仿宋_GB2312"/>
          <w:sz w:val="32"/>
          <w:szCs w:val="32"/>
          <w:u w:val="none"/>
        </w:rPr>
        <w:t>研究</w:t>
      </w:r>
    </w:p>
    <w:p w14:paraId="3ED01B9E">
      <w:pPr>
        <w:spacing w:line="360" w:lineRule="auto"/>
        <w:ind w:left="425" w:hanging="425"/>
        <w:jc w:val="left"/>
        <w:rPr>
          <w:rFonts w:eastAsia="仿宋_GB2312"/>
          <w:sz w:val="32"/>
          <w:szCs w:val="32"/>
          <w:u w:val="none"/>
        </w:rPr>
      </w:pPr>
      <w:r>
        <w:rPr>
          <w:rFonts w:hint="eastAsia" w:eastAsia="仿宋_GB2312"/>
          <w:sz w:val="32"/>
          <w:szCs w:val="32"/>
          <w:u w:val="none"/>
        </w:rPr>
        <w:t>3</w:t>
      </w:r>
      <w:r>
        <w:rPr>
          <w:rFonts w:eastAsia="仿宋_GB2312"/>
          <w:sz w:val="32"/>
          <w:szCs w:val="32"/>
          <w:u w:val="none"/>
        </w:rPr>
        <w:t>.人机协同的思政课教学模式创新与实践验证</w:t>
      </w:r>
      <w:r>
        <w:rPr>
          <w:rFonts w:hint="eastAsia" w:eastAsia="仿宋_GB2312"/>
          <w:sz w:val="32"/>
          <w:szCs w:val="32"/>
          <w:u w:val="none"/>
        </w:rPr>
        <w:t>研究</w:t>
      </w:r>
    </w:p>
    <w:p w14:paraId="50C057BC">
      <w:pPr>
        <w:spacing w:line="360" w:lineRule="auto"/>
        <w:ind w:left="425" w:hanging="425"/>
        <w:jc w:val="left"/>
        <w:rPr>
          <w:rFonts w:eastAsia="仿宋_GB2312"/>
          <w:sz w:val="32"/>
          <w:szCs w:val="32"/>
          <w:u w:val="none"/>
        </w:rPr>
      </w:pPr>
      <w:r>
        <w:rPr>
          <w:rFonts w:hint="eastAsia" w:eastAsia="黑体"/>
          <w:sz w:val="32"/>
          <w:szCs w:val="32"/>
          <w:u w:val="none"/>
        </w:rPr>
        <w:t>4</w:t>
      </w:r>
      <w:r>
        <w:rPr>
          <w:rFonts w:eastAsia="黑体"/>
          <w:sz w:val="32"/>
          <w:szCs w:val="32"/>
          <w:u w:val="none"/>
        </w:rPr>
        <w:t>.</w:t>
      </w:r>
      <w:r>
        <w:rPr>
          <w:rFonts w:eastAsia="仿宋_GB2312"/>
          <w:sz w:val="32"/>
          <w:szCs w:val="32"/>
          <w:u w:val="none"/>
        </w:rPr>
        <w:t>算法推荐对大学生价值观养成的影响</w:t>
      </w:r>
      <w:r>
        <w:rPr>
          <w:rFonts w:hint="eastAsia" w:eastAsia="仿宋_GB2312"/>
          <w:sz w:val="32"/>
          <w:szCs w:val="32"/>
          <w:u w:val="none"/>
        </w:rPr>
        <w:t>机制与</w:t>
      </w:r>
      <w:r>
        <w:rPr>
          <w:rFonts w:eastAsia="仿宋_GB2312"/>
          <w:sz w:val="32"/>
          <w:szCs w:val="32"/>
          <w:u w:val="none"/>
        </w:rPr>
        <w:t>干预策略研究</w:t>
      </w:r>
    </w:p>
    <w:p w14:paraId="7DF2B13E">
      <w:pPr>
        <w:spacing w:line="360" w:lineRule="auto"/>
        <w:ind w:left="425" w:hanging="425"/>
        <w:jc w:val="left"/>
        <w:rPr>
          <w:rFonts w:eastAsia="仿宋_GB2312"/>
          <w:bCs/>
          <w:sz w:val="32"/>
          <w:szCs w:val="32"/>
          <w:u w:val="none"/>
        </w:rPr>
      </w:pPr>
      <w:r>
        <w:rPr>
          <w:rFonts w:hint="eastAsia" w:eastAsia="仿宋_GB2312"/>
          <w:sz w:val="32"/>
          <w:szCs w:val="32"/>
          <w:u w:val="none"/>
        </w:rPr>
        <w:t>5.</w:t>
      </w:r>
      <w:r>
        <w:rPr>
          <w:rFonts w:hint="eastAsia" w:eastAsia="仿宋_GB2312"/>
          <w:bCs/>
          <w:sz w:val="32"/>
          <w:szCs w:val="32"/>
          <w:u w:val="none"/>
        </w:rPr>
        <w:t>“人工智能+”赋能高校思想政治工作的路径研究</w:t>
      </w:r>
    </w:p>
    <w:p w14:paraId="62869194">
      <w:pPr>
        <w:spacing w:line="360" w:lineRule="auto"/>
        <w:ind w:left="425" w:hanging="425"/>
        <w:jc w:val="left"/>
        <w:rPr>
          <w:rFonts w:eastAsia="仿宋_GB2312"/>
          <w:sz w:val="32"/>
          <w:szCs w:val="32"/>
          <w:u w:val="none"/>
        </w:rPr>
      </w:pPr>
      <w:r>
        <w:rPr>
          <w:rFonts w:hint="eastAsia" w:eastAsia="仿宋_GB2312"/>
          <w:sz w:val="32"/>
          <w:szCs w:val="32"/>
          <w:u w:val="none"/>
        </w:rPr>
        <w:t>6.</w:t>
      </w:r>
      <w:r>
        <w:rPr>
          <w:rFonts w:eastAsia="仿宋_GB2312"/>
          <w:sz w:val="32"/>
          <w:szCs w:val="32"/>
          <w:u w:val="none"/>
        </w:rPr>
        <w:t>DeepSeek等生成式人工智能对高校思政课教学的挑战和应对研究</w:t>
      </w:r>
    </w:p>
    <w:p w14:paraId="5F8BD6EC">
      <w:pPr>
        <w:spacing w:line="360" w:lineRule="auto"/>
        <w:ind w:left="425" w:hanging="425"/>
        <w:jc w:val="left"/>
        <w:rPr>
          <w:rFonts w:eastAsia="仿宋_GB2312"/>
          <w:sz w:val="32"/>
          <w:szCs w:val="32"/>
          <w:u w:val="none"/>
        </w:rPr>
      </w:pPr>
      <w:r>
        <w:rPr>
          <w:rFonts w:hint="eastAsia" w:eastAsia="仿宋_GB2312"/>
          <w:sz w:val="32"/>
          <w:szCs w:val="32"/>
          <w:u w:val="none"/>
        </w:rPr>
        <w:t>7.</w:t>
      </w:r>
      <w:r>
        <w:rPr>
          <w:rFonts w:eastAsia="仿宋_GB2312"/>
          <w:sz w:val="32"/>
          <w:szCs w:val="32"/>
          <w:u w:val="none"/>
        </w:rPr>
        <w:t>生成式人工智能赋能高校思政课高质量发展的理论逻辑和实践路径研究</w:t>
      </w:r>
    </w:p>
    <w:p w14:paraId="12C0F4C1">
      <w:pPr>
        <w:spacing w:line="360" w:lineRule="auto"/>
        <w:jc w:val="left"/>
        <w:rPr>
          <w:rFonts w:eastAsia="黑体"/>
          <w:sz w:val="32"/>
          <w:szCs w:val="32"/>
          <w:u w:val="none"/>
        </w:rPr>
      </w:pPr>
      <w:r>
        <w:rPr>
          <w:rFonts w:hint="eastAsia" w:eastAsia="黑体"/>
          <w:sz w:val="32"/>
          <w:szCs w:val="32"/>
          <w:u w:val="none"/>
        </w:rPr>
        <w:t>五</w:t>
      </w:r>
      <w:r>
        <w:rPr>
          <w:rFonts w:eastAsia="黑体"/>
          <w:sz w:val="32"/>
          <w:szCs w:val="32"/>
          <w:u w:val="none"/>
        </w:rPr>
        <w:t>、</w:t>
      </w:r>
      <w:r>
        <w:rPr>
          <w:rFonts w:hint="eastAsia" w:eastAsia="黑体"/>
          <w:sz w:val="32"/>
          <w:szCs w:val="32"/>
          <w:u w:val="none"/>
        </w:rPr>
        <w:t>“</w:t>
      </w:r>
      <w:r>
        <w:rPr>
          <w:rFonts w:eastAsia="黑体"/>
          <w:sz w:val="32"/>
          <w:szCs w:val="32"/>
          <w:u w:val="none"/>
        </w:rPr>
        <w:t>马院+书院</w:t>
      </w:r>
      <w:r>
        <w:rPr>
          <w:rFonts w:hint="eastAsia" w:eastAsia="黑体"/>
          <w:sz w:val="32"/>
          <w:szCs w:val="32"/>
          <w:u w:val="none"/>
        </w:rPr>
        <w:t>”育人模式改革方向</w:t>
      </w:r>
    </w:p>
    <w:p w14:paraId="0F7A3B80">
      <w:pPr>
        <w:spacing w:line="360" w:lineRule="auto"/>
        <w:ind w:left="425" w:hanging="425"/>
        <w:jc w:val="left"/>
        <w:rPr>
          <w:rFonts w:eastAsia="仿宋_GB2312"/>
          <w:sz w:val="32"/>
          <w:szCs w:val="32"/>
          <w:u w:val="none"/>
        </w:rPr>
      </w:pPr>
      <w:r>
        <w:rPr>
          <w:rFonts w:hint="eastAsia" w:eastAsia="仿宋_GB2312"/>
          <w:sz w:val="32"/>
          <w:szCs w:val="32"/>
          <w:u w:val="none"/>
        </w:rPr>
        <w:t>1</w:t>
      </w:r>
      <w:r>
        <w:rPr>
          <w:rFonts w:eastAsia="仿宋_GB2312"/>
          <w:sz w:val="32"/>
          <w:szCs w:val="32"/>
          <w:u w:val="none"/>
        </w:rPr>
        <w:t>.“马院+书院”协同育人的</w:t>
      </w:r>
      <w:r>
        <w:rPr>
          <w:rFonts w:hint="eastAsia" w:eastAsia="仿宋_GB2312"/>
          <w:sz w:val="32"/>
          <w:szCs w:val="32"/>
          <w:u w:val="none"/>
        </w:rPr>
        <w:t>课程体系构建</w:t>
      </w:r>
      <w:r>
        <w:rPr>
          <w:rFonts w:eastAsia="仿宋_GB2312"/>
          <w:sz w:val="32"/>
          <w:szCs w:val="32"/>
          <w:u w:val="none"/>
        </w:rPr>
        <w:t>研究</w:t>
      </w:r>
    </w:p>
    <w:p w14:paraId="5F49577E">
      <w:pPr>
        <w:spacing w:line="360" w:lineRule="auto"/>
        <w:ind w:left="425" w:hanging="425"/>
        <w:jc w:val="left"/>
        <w:rPr>
          <w:rFonts w:eastAsia="仿宋_GB2312"/>
          <w:sz w:val="32"/>
          <w:szCs w:val="32"/>
          <w:u w:val="none"/>
        </w:rPr>
      </w:pPr>
      <w:r>
        <w:rPr>
          <w:rFonts w:hint="eastAsia" w:eastAsia="仿宋_GB2312"/>
          <w:sz w:val="32"/>
          <w:szCs w:val="32"/>
          <w:u w:val="none"/>
        </w:rPr>
        <w:t>2</w:t>
      </w:r>
      <w:r>
        <w:rPr>
          <w:rFonts w:eastAsia="仿宋_GB2312"/>
          <w:sz w:val="32"/>
          <w:szCs w:val="32"/>
          <w:u w:val="none"/>
        </w:rPr>
        <w:t>.‌“马院+书院”模式下思政导师创新实践研究</w:t>
      </w:r>
    </w:p>
    <w:p w14:paraId="1BAE6D3E">
      <w:pPr>
        <w:spacing w:line="360" w:lineRule="auto"/>
        <w:ind w:left="425" w:hanging="425"/>
        <w:jc w:val="left"/>
        <w:rPr>
          <w:rFonts w:eastAsia="仿宋_GB2312"/>
          <w:sz w:val="32"/>
          <w:szCs w:val="32"/>
          <w:u w:val="none"/>
        </w:rPr>
      </w:pPr>
      <w:r>
        <w:rPr>
          <w:rFonts w:hint="eastAsia" w:eastAsia="仿宋_GB2312"/>
          <w:sz w:val="32"/>
          <w:szCs w:val="32"/>
          <w:u w:val="none"/>
        </w:rPr>
        <w:t>3</w:t>
      </w:r>
      <w:r>
        <w:rPr>
          <w:rFonts w:eastAsia="仿宋_GB2312"/>
          <w:sz w:val="32"/>
          <w:szCs w:val="32"/>
          <w:u w:val="none"/>
        </w:rPr>
        <w:t>.书院文化传承与马克思主义理论创新的互动路径研究</w:t>
      </w:r>
    </w:p>
    <w:p w14:paraId="0DA1AFA7">
      <w:pPr>
        <w:spacing w:line="360" w:lineRule="auto"/>
        <w:ind w:left="425" w:hanging="425"/>
        <w:jc w:val="left"/>
        <w:rPr>
          <w:rFonts w:eastAsia="仿宋_GB2312"/>
          <w:sz w:val="32"/>
          <w:szCs w:val="32"/>
          <w:u w:val="none"/>
        </w:rPr>
      </w:pPr>
      <w:r>
        <w:rPr>
          <w:rFonts w:hint="eastAsia" w:eastAsia="仿宋_GB2312"/>
          <w:sz w:val="32"/>
          <w:szCs w:val="32"/>
          <w:u w:val="none"/>
        </w:rPr>
        <w:t>4</w:t>
      </w:r>
      <w:r>
        <w:rPr>
          <w:rFonts w:eastAsia="仿宋_GB2312"/>
          <w:sz w:val="32"/>
          <w:szCs w:val="32"/>
          <w:u w:val="none"/>
        </w:rPr>
        <w:t>.</w:t>
      </w:r>
      <w:r>
        <w:rPr>
          <w:rFonts w:hint="eastAsia" w:eastAsia="仿宋_GB2312"/>
          <w:sz w:val="32"/>
          <w:szCs w:val="32"/>
          <w:u w:val="none"/>
        </w:rPr>
        <w:t>马院+书院“两轮驱动”“两个结合”人才培养项目研究</w:t>
      </w:r>
    </w:p>
    <w:p w14:paraId="0EDC6221">
      <w:pPr>
        <w:spacing w:line="360" w:lineRule="auto"/>
        <w:ind w:left="425" w:hanging="425"/>
        <w:jc w:val="left"/>
        <w:rPr>
          <w:rFonts w:eastAsia="仿宋_GB2312"/>
          <w:sz w:val="32"/>
          <w:szCs w:val="32"/>
          <w:u w:val="none"/>
        </w:rPr>
      </w:pPr>
      <w:r>
        <w:rPr>
          <w:rFonts w:hint="eastAsia" w:eastAsia="仿宋_GB2312"/>
          <w:sz w:val="32"/>
          <w:szCs w:val="32"/>
          <w:u w:val="none"/>
        </w:rPr>
        <w:t>5</w:t>
      </w:r>
      <w:r>
        <w:rPr>
          <w:rFonts w:eastAsia="仿宋_GB2312"/>
          <w:sz w:val="32"/>
          <w:szCs w:val="32"/>
          <w:u w:val="none"/>
        </w:rPr>
        <w:t>.书院制改革中“大思政课”建设路径</w:t>
      </w:r>
      <w:r>
        <w:rPr>
          <w:rFonts w:hint="eastAsia" w:eastAsia="仿宋_GB2312"/>
          <w:sz w:val="32"/>
          <w:szCs w:val="32"/>
          <w:u w:val="none"/>
        </w:rPr>
        <w:t>研究</w:t>
      </w:r>
    </w:p>
    <w:p w14:paraId="37AD31E7">
      <w:pPr>
        <w:spacing w:line="360" w:lineRule="auto"/>
        <w:ind w:left="425" w:hanging="425"/>
        <w:jc w:val="left"/>
        <w:rPr>
          <w:rFonts w:eastAsia="仿宋_GB2312"/>
          <w:sz w:val="32"/>
          <w:szCs w:val="32"/>
          <w:u w:val="none"/>
        </w:rPr>
      </w:pPr>
      <w:r>
        <w:rPr>
          <w:rFonts w:hint="eastAsia" w:eastAsia="仿宋_GB2312"/>
          <w:sz w:val="32"/>
          <w:szCs w:val="32"/>
          <w:u w:val="none"/>
        </w:rPr>
        <w:t>6.</w:t>
      </w:r>
      <w:r>
        <w:rPr>
          <w:rFonts w:eastAsia="仿宋_GB2312"/>
          <w:sz w:val="32"/>
          <w:szCs w:val="32"/>
          <w:u w:val="none"/>
        </w:rPr>
        <w:t>思政课教师参与书院导师制的胜任力培养研究</w:t>
      </w:r>
    </w:p>
    <w:p w14:paraId="0A604150">
      <w:pPr>
        <w:spacing w:line="360" w:lineRule="auto"/>
        <w:jc w:val="left"/>
        <w:rPr>
          <w:rFonts w:eastAsia="黑体"/>
          <w:sz w:val="32"/>
          <w:szCs w:val="32"/>
          <w:u w:val="none"/>
        </w:rPr>
      </w:pPr>
      <w:r>
        <w:rPr>
          <w:rFonts w:hint="eastAsia" w:eastAsia="黑体"/>
          <w:sz w:val="32"/>
          <w:szCs w:val="32"/>
          <w:u w:val="none"/>
        </w:rPr>
        <w:t>六、贵州地域文化方向</w:t>
      </w:r>
    </w:p>
    <w:p w14:paraId="29B65E19">
      <w:pPr>
        <w:spacing w:line="360" w:lineRule="auto"/>
        <w:ind w:left="425" w:hanging="425"/>
        <w:jc w:val="left"/>
        <w:rPr>
          <w:rFonts w:eastAsia="仿宋_GB2312"/>
          <w:sz w:val="32"/>
          <w:szCs w:val="32"/>
          <w:u w:val="none"/>
        </w:rPr>
      </w:pPr>
      <w:r>
        <w:rPr>
          <w:rFonts w:hint="eastAsia" w:eastAsia="仿宋_GB2312"/>
          <w:sz w:val="32"/>
          <w:szCs w:val="32"/>
          <w:u w:val="none"/>
        </w:rPr>
        <w:t>1.多彩贵州重大文化工程融入思政课的实践路径研究</w:t>
      </w:r>
    </w:p>
    <w:p w14:paraId="5444BC39">
      <w:pPr>
        <w:spacing w:line="360" w:lineRule="auto"/>
        <w:ind w:left="425" w:hanging="425"/>
        <w:jc w:val="left"/>
        <w:rPr>
          <w:rFonts w:eastAsia="仿宋_GB2312"/>
          <w:sz w:val="32"/>
          <w:szCs w:val="32"/>
          <w:u w:val="none"/>
        </w:rPr>
      </w:pPr>
      <w:r>
        <w:rPr>
          <w:rFonts w:hint="eastAsia" w:eastAsia="仿宋_GB2312"/>
          <w:sz w:val="32"/>
          <w:szCs w:val="32"/>
          <w:u w:val="none"/>
        </w:rPr>
        <w:t>2.三线建设在贵州高校思政课教学中的案例开发研究</w:t>
      </w:r>
    </w:p>
    <w:p w14:paraId="6BF5BA0F">
      <w:pPr>
        <w:spacing w:line="360" w:lineRule="auto"/>
        <w:jc w:val="left"/>
        <w:rPr>
          <w:rFonts w:eastAsia="仿宋_GB2312"/>
          <w:sz w:val="32"/>
          <w:szCs w:val="32"/>
          <w:u w:val="none"/>
        </w:rPr>
      </w:pPr>
      <w:r>
        <w:rPr>
          <w:rFonts w:hint="eastAsia" w:eastAsia="仿宋_GB2312"/>
          <w:sz w:val="32"/>
          <w:szCs w:val="32"/>
          <w:u w:val="none"/>
        </w:rPr>
        <w:t>3.贵州传统村落建筑美学中的文化认同与思政课程创新研究</w:t>
      </w:r>
    </w:p>
    <w:p w14:paraId="4CEFCC1B">
      <w:pPr>
        <w:spacing w:line="360" w:lineRule="auto"/>
        <w:jc w:val="left"/>
        <w:rPr>
          <w:rFonts w:eastAsia="黑体"/>
          <w:sz w:val="32"/>
          <w:szCs w:val="32"/>
          <w:u w:val="none"/>
        </w:rPr>
      </w:pPr>
      <w:r>
        <w:rPr>
          <w:rFonts w:hint="eastAsia" w:eastAsia="黑体"/>
          <w:sz w:val="32"/>
          <w:szCs w:val="32"/>
          <w:u w:val="none"/>
        </w:rPr>
        <w:t>七</w:t>
      </w:r>
      <w:r>
        <w:rPr>
          <w:rFonts w:eastAsia="黑体"/>
          <w:sz w:val="32"/>
          <w:szCs w:val="32"/>
          <w:u w:val="none"/>
        </w:rPr>
        <w:t>、其他</w:t>
      </w:r>
      <w:r>
        <w:rPr>
          <w:rFonts w:hint="eastAsia" w:eastAsia="黑体"/>
          <w:sz w:val="32"/>
          <w:szCs w:val="32"/>
          <w:u w:val="none"/>
        </w:rPr>
        <w:t>方向</w:t>
      </w:r>
    </w:p>
    <w:p w14:paraId="26760EFD">
      <w:pPr>
        <w:spacing w:line="360" w:lineRule="auto"/>
        <w:jc w:val="left"/>
        <w:rPr>
          <w:rFonts w:eastAsia="仿宋_GB2312"/>
          <w:sz w:val="32"/>
          <w:szCs w:val="32"/>
          <w:u w:val="none"/>
        </w:rPr>
      </w:pPr>
      <w:r>
        <w:rPr>
          <w:rFonts w:hint="eastAsia" w:eastAsia="仿宋_GB2312"/>
          <w:sz w:val="32"/>
          <w:szCs w:val="32"/>
          <w:u w:val="none"/>
        </w:rPr>
        <w:t>1.思政课程实践案例库构建与应用研究</w:t>
      </w:r>
    </w:p>
    <w:p w14:paraId="1A29B7F6">
      <w:pPr>
        <w:spacing w:line="360" w:lineRule="auto"/>
        <w:jc w:val="left"/>
        <w:rPr>
          <w:rFonts w:eastAsia="仿宋_GB2312"/>
          <w:bCs/>
          <w:sz w:val="32"/>
          <w:szCs w:val="32"/>
          <w:u w:val="none"/>
        </w:rPr>
      </w:pPr>
      <w:r>
        <w:rPr>
          <w:rFonts w:hint="eastAsia" w:eastAsia="仿宋_GB2312"/>
          <w:sz w:val="32"/>
          <w:szCs w:val="32"/>
          <w:u w:val="none"/>
        </w:rPr>
        <w:t>2.</w:t>
      </w:r>
      <w:r>
        <w:rPr>
          <w:rFonts w:eastAsia="仿宋_GB2312"/>
          <w:sz w:val="32"/>
          <w:szCs w:val="32"/>
          <w:u w:val="none"/>
        </w:rPr>
        <w:t>共同缔造理论下高校“一站式”学生社区育人路径研究</w:t>
      </w:r>
    </w:p>
    <w:p w14:paraId="6A6469E8">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7F069E-786B-4D21-828C-7CCBCD2735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FA3685E-202F-4A76-822E-08AAE842FD17}"/>
  </w:font>
  <w:font w:name="方正小标宋简体">
    <w:panose1 w:val="02000000000000000000"/>
    <w:charset w:val="86"/>
    <w:family w:val="script"/>
    <w:pitch w:val="default"/>
    <w:sig w:usb0="00000001" w:usb1="08000000" w:usb2="00000000" w:usb3="00000000" w:csb0="00040000" w:csb1="00000000"/>
    <w:embedRegular r:id="rId3" w:fontKey="{EDDF61A0-24B6-42FB-9B28-94296ABE02A8}"/>
  </w:font>
  <w:font w:name="仿宋_GB2312">
    <w:panose1 w:val="02010609030101010101"/>
    <w:charset w:val="86"/>
    <w:family w:val="modern"/>
    <w:pitch w:val="default"/>
    <w:sig w:usb0="00000001" w:usb1="080E0000" w:usb2="00000000" w:usb3="00000000" w:csb0="00040000" w:csb1="00000000"/>
    <w:embedRegular r:id="rId4" w:fontKey="{2402D59F-058F-4E8C-AB8F-08DB37A1636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lNmU1ZWY3MWVkODVhMjRkNzRjZDY4YjE1OTljNGIifQ=="/>
  </w:docVars>
  <w:rsids>
    <w:rsidRoot w:val="00000000"/>
    <w:rsid w:val="1621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2025-03-15T07:17:46Z</dcterms:created>
  <dc:creator>HUAWEI</dc:creator>
  <cp:lastModifiedBy>WPS_1614846759</cp:lastModifiedBy>
  <dcterms:modified xsi:type="dcterms:W3CDTF">2025-03-15T07:17:52Z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C96F36CFE78B49A6860C3E7EEBFB8CEA_12</vt:lpwstr>
  </property>
</Properties>
</file>